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479BE" w14:textId="77777777" w:rsidR="00980713" w:rsidRDefault="00980713" w:rsidP="00980713">
      <w:pPr>
        <w:spacing w:before="240" w:line="480" w:lineRule="auto"/>
        <w:jc w:val="center"/>
        <w:rPr>
          <w:rFonts w:ascii="Times New Roman" w:hAnsi="Times New Roman" w:cs="Times New Roman"/>
          <w:sz w:val="24"/>
          <w:szCs w:val="24"/>
        </w:rPr>
      </w:pPr>
    </w:p>
    <w:p w14:paraId="5F7BA337" w14:textId="77777777" w:rsidR="00980713" w:rsidRDefault="00980713" w:rsidP="00980713">
      <w:pPr>
        <w:spacing w:before="240" w:line="480" w:lineRule="auto"/>
        <w:jc w:val="center"/>
        <w:rPr>
          <w:rFonts w:ascii="Times New Roman" w:hAnsi="Times New Roman" w:cs="Times New Roman"/>
          <w:sz w:val="24"/>
          <w:szCs w:val="24"/>
        </w:rPr>
      </w:pPr>
    </w:p>
    <w:p w14:paraId="73A0524E" w14:textId="77777777" w:rsidR="00980713" w:rsidRDefault="00980713" w:rsidP="00980713">
      <w:pPr>
        <w:spacing w:before="240" w:line="480" w:lineRule="auto"/>
        <w:jc w:val="center"/>
        <w:rPr>
          <w:rFonts w:ascii="Times New Roman" w:hAnsi="Times New Roman" w:cs="Times New Roman"/>
          <w:sz w:val="24"/>
          <w:szCs w:val="24"/>
        </w:rPr>
      </w:pPr>
    </w:p>
    <w:p w14:paraId="71086D6D" w14:textId="77777777" w:rsidR="00980713" w:rsidRDefault="00980713" w:rsidP="00980713">
      <w:pPr>
        <w:spacing w:before="240" w:line="480" w:lineRule="auto"/>
        <w:jc w:val="center"/>
        <w:rPr>
          <w:rFonts w:ascii="Times New Roman" w:hAnsi="Times New Roman" w:cs="Times New Roman"/>
          <w:sz w:val="24"/>
          <w:szCs w:val="24"/>
        </w:rPr>
      </w:pPr>
    </w:p>
    <w:p w14:paraId="3A0612EE" w14:textId="68827D29" w:rsidR="00445D08" w:rsidRDefault="00445D08" w:rsidP="0098071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Executive Summary of </w:t>
      </w:r>
      <w:r w:rsidR="0022692C">
        <w:rPr>
          <w:rFonts w:ascii="Times New Roman" w:hAnsi="Times New Roman" w:cs="Times New Roman"/>
          <w:sz w:val="24"/>
          <w:szCs w:val="24"/>
        </w:rPr>
        <w:t>A</w:t>
      </w:r>
      <w:r w:rsidR="0022692C" w:rsidRPr="0022692C">
        <w:rPr>
          <w:rFonts w:ascii="Times New Roman" w:hAnsi="Times New Roman" w:cs="Times New Roman"/>
          <w:sz w:val="24"/>
          <w:szCs w:val="24"/>
        </w:rPr>
        <w:t xml:space="preserve">mazon </w:t>
      </w:r>
      <w:r w:rsidR="0022692C">
        <w:rPr>
          <w:rFonts w:ascii="Times New Roman" w:hAnsi="Times New Roman" w:cs="Times New Roman"/>
          <w:sz w:val="24"/>
          <w:szCs w:val="24"/>
        </w:rPr>
        <w:t>A</w:t>
      </w:r>
      <w:r w:rsidR="0022692C" w:rsidRPr="0022692C">
        <w:rPr>
          <w:rFonts w:ascii="Times New Roman" w:hAnsi="Times New Roman" w:cs="Times New Roman"/>
          <w:sz w:val="24"/>
          <w:szCs w:val="24"/>
        </w:rPr>
        <w:t>cquisition</w:t>
      </w:r>
      <w:r w:rsidR="0022692C">
        <w:rPr>
          <w:rFonts w:ascii="Times New Roman" w:hAnsi="Times New Roman" w:cs="Times New Roman"/>
          <w:sz w:val="24"/>
          <w:szCs w:val="24"/>
        </w:rPr>
        <w:t xml:space="preserve"> IT</w:t>
      </w:r>
      <w:r w:rsidR="0022692C" w:rsidRPr="0022692C">
        <w:rPr>
          <w:rFonts w:ascii="Times New Roman" w:hAnsi="Times New Roman" w:cs="Times New Roman"/>
          <w:sz w:val="24"/>
          <w:szCs w:val="24"/>
        </w:rPr>
        <w:t xml:space="preserve"> </w:t>
      </w:r>
      <w:r w:rsidR="0022692C">
        <w:rPr>
          <w:rFonts w:ascii="Times New Roman" w:hAnsi="Times New Roman" w:cs="Times New Roman"/>
          <w:sz w:val="24"/>
          <w:szCs w:val="24"/>
        </w:rPr>
        <w:t>S</w:t>
      </w:r>
      <w:r w:rsidR="0022692C" w:rsidRPr="0022692C">
        <w:rPr>
          <w:rFonts w:ascii="Times New Roman" w:hAnsi="Times New Roman" w:cs="Times New Roman"/>
          <w:sz w:val="24"/>
          <w:szCs w:val="24"/>
        </w:rPr>
        <w:t xml:space="preserve">trategic </w:t>
      </w:r>
      <w:r w:rsidR="0022692C">
        <w:rPr>
          <w:rFonts w:ascii="Times New Roman" w:hAnsi="Times New Roman" w:cs="Times New Roman"/>
          <w:sz w:val="24"/>
          <w:szCs w:val="24"/>
        </w:rPr>
        <w:t>P</w:t>
      </w:r>
      <w:r w:rsidR="0022692C" w:rsidRPr="0022692C">
        <w:rPr>
          <w:rFonts w:ascii="Times New Roman" w:hAnsi="Times New Roman" w:cs="Times New Roman"/>
          <w:sz w:val="24"/>
          <w:szCs w:val="24"/>
        </w:rPr>
        <w:t>lan</w:t>
      </w:r>
    </w:p>
    <w:p w14:paraId="3E5E1BBB" w14:textId="77777777" w:rsidR="00445D08" w:rsidRDefault="008B281B" w:rsidP="00980713">
      <w:pPr>
        <w:spacing w:before="240" w:line="480" w:lineRule="auto"/>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14:paraId="1F156A14" w14:textId="6CA6D4A2" w:rsidR="0033516E" w:rsidRDefault="00445D08" w:rsidP="0098071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703B17F" w14:textId="77777777" w:rsidR="00980713" w:rsidRDefault="00980713" w:rsidP="00980713">
      <w:pPr>
        <w:spacing w:before="24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DEC6333" w14:textId="182F3B54" w:rsidR="00980713" w:rsidRDefault="00980713" w:rsidP="00980713">
      <w:pPr>
        <w:spacing w:before="240" w:line="480" w:lineRule="auto"/>
        <w:jc w:val="center"/>
        <w:rPr>
          <w:rFonts w:ascii="Times New Roman" w:hAnsi="Times New Roman" w:cs="Times New Roman"/>
          <w:color w:val="222222"/>
          <w:sz w:val="24"/>
          <w:szCs w:val="24"/>
          <w:shd w:val="clear" w:color="auto" w:fill="FFFFFF"/>
        </w:rPr>
      </w:pPr>
      <w:r w:rsidRPr="00980713">
        <w:rPr>
          <w:rFonts w:ascii="Times New Roman" w:hAnsi="Times New Roman" w:cs="Times New Roman"/>
          <w:color w:val="222222"/>
          <w:sz w:val="24"/>
          <w:szCs w:val="24"/>
          <w:shd w:val="clear" w:color="auto" w:fill="FFFFFF"/>
        </w:rPr>
        <w:lastRenderedPageBreak/>
        <w:t>Executive Summary of Amazon Acquisition IT Strategic Plan</w:t>
      </w:r>
    </w:p>
    <w:p w14:paraId="596235B9" w14:textId="77777777" w:rsidR="00980713" w:rsidRDefault="0022692C" w:rsidP="00980713">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Amazon Acquisition IT Strategic plan</w:t>
      </w:r>
    </w:p>
    <w:p w14:paraId="586B8742" w14:textId="47992661" w:rsidR="006E7DA5" w:rsidRPr="00980713" w:rsidRDefault="006E7DA5" w:rsidP="00980713">
      <w:pPr>
        <w:spacing w:before="240" w:line="480" w:lineRule="auto"/>
        <w:ind w:firstLine="720"/>
        <w:rPr>
          <w:rFonts w:ascii="Times New Roman" w:hAnsi="Times New Roman" w:cs="Times New Roman"/>
          <w:b/>
          <w:sz w:val="24"/>
          <w:szCs w:val="24"/>
        </w:rPr>
      </w:pPr>
      <w:r w:rsidRPr="006E7DA5">
        <w:rPr>
          <w:rFonts w:ascii="Times New Roman" w:hAnsi="Times New Roman" w:cs="Times New Roman"/>
          <w:sz w:val="24"/>
          <w:szCs w:val="24"/>
        </w:rPr>
        <w:t>Mergers and acquisitions are a leading growth strategy for corporations like Amazon across the globe. This can be attributed to pressure from stakeholders who are heedful in their quest for increased investor value. Hence, it is imperative to pinpoint key planning strategies that will assist Amazon’s CEO and boards to attain M&amp;A success. The merger or acquisition presents typically various challenges to the working environment. The employees are concerned about restructuring and retention, and a remarkable burden is imposed on the senior management to guarantee that the acquisition is executed suitably for continuous operations as well as the shareholder and regulatory interests. In all the tumult, the IT department concerns might be ignored. A McKinsey study found that up to 60 per cent of the M&amp;A initiatives projected to capture the synergies between the two firms is linked to IT</w:t>
      </w:r>
      <w:r w:rsidR="00A77A54">
        <w:rPr>
          <w:rFonts w:ascii="Times New Roman" w:hAnsi="Times New Roman" w:cs="Times New Roman"/>
          <w:sz w:val="24"/>
          <w:szCs w:val="24"/>
        </w:rPr>
        <w:t xml:space="preserve"> (</w:t>
      </w:r>
      <w:r w:rsidR="00A77A54" w:rsidRPr="00A77A54">
        <w:rPr>
          <w:rFonts w:ascii="Times New Roman" w:hAnsi="Times New Roman" w:cs="Times New Roman" w:hint="eastAsia"/>
          <w:sz w:val="24"/>
          <w:szCs w:val="24"/>
        </w:rPr>
        <w:t>DePamphilis, 2018). </w:t>
      </w:r>
      <w:r w:rsidRPr="006E7DA5">
        <w:rPr>
          <w:rFonts w:ascii="Times New Roman" w:hAnsi="Times New Roman" w:cs="Times New Roman"/>
          <w:sz w:val="24"/>
          <w:szCs w:val="24"/>
        </w:rPr>
        <w:t xml:space="preserve">This report highlights Amazon’s strategic analysis and recommendations that can be used to address the IT challenges faced in Ring’s acquisition. </w:t>
      </w:r>
    </w:p>
    <w:p w14:paraId="3030DBEC" w14:textId="2038FF6D" w:rsidR="006E7DA5" w:rsidRPr="006E7DA5" w:rsidRDefault="006E7DA5" w:rsidP="00980713">
      <w:pPr>
        <w:spacing w:after="0" w:line="480" w:lineRule="auto"/>
        <w:ind w:firstLine="720"/>
        <w:rPr>
          <w:rFonts w:ascii="Times New Roman" w:hAnsi="Times New Roman" w:cs="Times New Roman"/>
          <w:sz w:val="24"/>
          <w:szCs w:val="24"/>
        </w:rPr>
      </w:pPr>
      <w:r w:rsidRPr="006E7DA5">
        <w:rPr>
          <w:rFonts w:ascii="Times New Roman" w:hAnsi="Times New Roman" w:cs="Times New Roman"/>
          <w:sz w:val="24"/>
          <w:szCs w:val="24"/>
        </w:rPr>
        <w:t xml:space="preserve">Amazon recently announced plans of acquiring Ring, a new startup that concentrates on modern camera-equipped doorbells used in houses. The first step is to fully understand the commitments to external entities. Amazon’s IT team should collect all commitments and contracts entered by Ring with external vendors and other service providers to identify assignment, transferability, and termination clauses. This will aid in </w:t>
      </w:r>
      <w:r w:rsidR="0069181F" w:rsidRPr="006E7DA5">
        <w:rPr>
          <w:rFonts w:ascii="Times New Roman" w:hAnsi="Times New Roman" w:cs="Times New Roman"/>
          <w:sz w:val="24"/>
          <w:szCs w:val="24"/>
        </w:rPr>
        <w:t>minimizing</w:t>
      </w:r>
      <w:r w:rsidRPr="006E7DA5">
        <w:rPr>
          <w:rFonts w:ascii="Times New Roman" w:hAnsi="Times New Roman" w:cs="Times New Roman"/>
          <w:sz w:val="24"/>
          <w:szCs w:val="24"/>
        </w:rPr>
        <w:t xml:space="preserve"> the exposure of the two parties in the acquisition and maintaining sound relationships with the vendors. Secondly, the IT department should evaluate any current internal contracts made to the </w:t>
      </w:r>
      <w:r w:rsidRPr="006E7DA5">
        <w:rPr>
          <w:rFonts w:ascii="Times New Roman" w:hAnsi="Times New Roman" w:cs="Times New Roman"/>
          <w:sz w:val="24"/>
          <w:szCs w:val="24"/>
        </w:rPr>
        <w:lastRenderedPageBreak/>
        <w:t>technology department personnel to include the commitments in Amazon’s transition plan and sustain transparent communications.</w:t>
      </w:r>
    </w:p>
    <w:p w14:paraId="5D71CA9E" w14:textId="77777777" w:rsidR="006E7DA5" w:rsidRPr="006E7DA5" w:rsidRDefault="006E7DA5" w:rsidP="00980713">
      <w:pPr>
        <w:spacing w:after="0" w:line="480" w:lineRule="auto"/>
        <w:ind w:firstLine="720"/>
        <w:rPr>
          <w:rFonts w:ascii="Times New Roman" w:hAnsi="Times New Roman" w:cs="Times New Roman"/>
          <w:sz w:val="24"/>
          <w:szCs w:val="24"/>
        </w:rPr>
      </w:pPr>
      <w:r w:rsidRPr="006E7DA5">
        <w:rPr>
          <w:rFonts w:ascii="Times New Roman" w:hAnsi="Times New Roman" w:cs="Times New Roman"/>
          <w:sz w:val="24"/>
          <w:szCs w:val="24"/>
        </w:rPr>
        <w:t>Next, as part of the due diligence, there is the need to address software licensing</w:t>
      </w:r>
      <w:r w:rsidR="00A77A54" w:rsidRPr="00A77A54">
        <w:rPr>
          <w:rFonts w:ascii="Times New Roman" w:hAnsi="Times New Roman" w:cs="Times New Roman" w:hint="eastAsia"/>
          <w:sz w:val="24"/>
          <w:szCs w:val="24"/>
        </w:rPr>
        <w:t xml:space="preserve"> </w:t>
      </w:r>
      <w:r w:rsidR="00A77A54" w:rsidRPr="00A77A54">
        <w:rPr>
          <w:rFonts w:ascii="Times New Roman" w:hAnsi="Times New Roman" w:cs="Times New Roman"/>
          <w:sz w:val="24"/>
          <w:szCs w:val="24"/>
        </w:rPr>
        <w:t>(</w:t>
      </w:r>
      <w:r w:rsidR="00A77A54">
        <w:rPr>
          <w:rFonts w:ascii="Times New Roman" w:hAnsi="Times New Roman" w:cs="Times New Roman" w:hint="eastAsia"/>
          <w:sz w:val="24"/>
          <w:szCs w:val="24"/>
        </w:rPr>
        <w:t xml:space="preserve">In Cooper &amp; In Finkelstein, </w:t>
      </w:r>
      <w:r w:rsidR="00A77A54" w:rsidRPr="00A77A54">
        <w:rPr>
          <w:rFonts w:ascii="Times New Roman" w:hAnsi="Times New Roman" w:cs="Times New Roman" w:hint="eastAsia"/>
          <w:sz w:val="24"/>
          <w:szCs w:val="24"/>
        </w:rPr>
        <w:t>2017). </w:t>
      </w:r>
      <w:r w:rsidRPr="006E7DA5">
        <w:rPr>
          <w:rFonts w:ascii="Times New Roman" w:hAnsi="Times New Roman" w:cs="Times New Roman"/>
          <w:sz w:val="24"/>
          <w:szCs w:val="24"/>
        </w:rPr>
        <w:t xml:space="preserve"> Since Amazon is acquiring a smaller company, Ring, the transfer of software licenses might not be direct so, it is imperative to comprehend the entitlements and ownership for all licensing to remain in full compliance. Non-compliance might lead to unnecessary fees and penalties as well as damaging ongoing connections with vendors and other entities. Besides, the network plays a key part in the IT transition planning. Hence, the management team should determine if the acquired entity that occurs after the acquisition will remain on distinct networks, if the networks will be merged, or if a new network will be fabricated. The three scenarios will have a set of factors that must be taken into account to create a low-risk and minimally disruptive plan.</w:t>
      </w:r>
    </w:p>
    <w:p w14:paraId="71770017" w14:textId="77777777" w:rsidR="006E7DA5" w:rsidRPr="006E7DA5" w:rsidRDefault="006E7DA5" w:rsidP="00980713">
      <w:pPr>
        <w:spacing w:after="0" w:line="480" w:lineRule="auto"/>
        <w:ind w:firstLine="720"/>
        <w:rPr>
          <w:rFonts w:ascii="Times New Roman" w:hAnsi="Times New Roman" w:cs="Times New Roman"/>
          <w:sz w:val="24"/>
          <w:szCs w:val="24"/>
        </w:rPr>
      </w:pPr>
      <w:r w:rsidRPr="006E7DA5">
        <w:rPr>
          <w:rFonts w:ascii="Times New Roman" w:hAnsi="Times New Roman" w:cs="Times New Roman"/>
          <w:sz w:val="24"/>
          <w:szCs w:val="24"/>
        </w:rPr>
        <w:t xml:space="preserve">A course of action should be decided upon to lessen the lag time or disruptions caused by ordering circuits. Hence, the existing carrier contracts and whether or not the circuits can be transferred should be deliberated. If not, the new contracts should be signed, and circuits ordered, as the lead time in procuring new circuits can cause delays in the full integration. Messaging is exceedingly important in a collaborative workforce since using social technologies, such as company messaging, can improve the teams’ productivity. Thus, the IT team should determine the messaging service used by all parties in the M&amp;A event and included in the integration plan. Furthermore, it is also important to determine how the new company will manage their domains, as the principal domain is the firm’s face in the corporate world. A consistent message sent via well-planned domain will aid in maintaining communication with customers and employee and eased concerns during the changes. The IT department should collaborate with the senior </w:t>
      </w:r>
      <w:r w:rsidRPr="006E7DA5">
        <w:rPr>
          <w:rFonts w:ascii="Times New Roman" w:hAnsi="Times New Roman" w:cs="Times New Roman"/>
          <w:sz w:val="24"/>
          <w:szCs w:val="24"/>
        </w:rPr>
        <w:lastRenderedPageBreak/>
        <w:t>executives to ascertain the ideal domain path</w:t>
      </w:r>
      <w:r w:rsidR="00A77A54" w:rsidRPr="00A77A54">
        <w:rPr>
          <w:rFonts w:ascii="Times New Roman" w:hAnsi="Times New Roman" w:cs="Times New Roman" w:hint="eastAsia"/>
          <w:sz w:val="24"/>
          <w:szCs w:val="24"/>
        </w:rPr>
        <w:t xml:space="preserve"> </w:t>
      </w:r>
      <w:r w:rsidR="00A77A54" w:rsidRPr="00A77A54">
        <w:rPr>
          <w:rFonts w:ascii="Times New Roman" w:hAnsi="Times New Roman" w:cs="Times New Roman"/>
          <w:sz w:val="24"/>
          <w:szCs w:val="24"/>
        </w:rPr>
        <w:t>(</w:t>
      </w:r>
      <w:r w:rsidR="00A77A54" w:rsidRPr="00A77A54">
        <w:rPr>
          <w:rFonts w:ascii="Times New Roman" w:hAnsi="Times New Roman" w:cs="Times New Roman" w:hint="eastAsia"/>
          <w:sz w:val="24"/>
          <w:szCs w:val="24"/>
        </w:rPr>
        <w:t>Andriole, 2009).</w:t>
      </w:r>
      <w:r w:rsidR="00A77A54">
        <w:rPr>
          <w:rFonts w:ascii="Arial Unicode MS" w:eastAsia="Arial Unicode MS" w:hAnsi="Arial Unicode MS" w:cs="Arial Unicode MS" w:hint="eastAsia"/>
          <w:color w:val="000000"/>
          <w:sz w:val="17"/>
          <w:szCs w:val="17"/>
          <w:shd w:val="clear" w:color="auto" w:fill="FFFFFF"/>
        </w:rPr>
        <w:t> </w:t>
      </w:r>
      <w:r w:rsidRPr="006E7DA5">
        <w:rPr>
          <w:rFonts w:ascii="Times New Roman" w:hAnsi="Times New Roman" w:cs="Times New Roman"/>
          <w:sz w:val="24"/>
          <w:szCs w:val="24"/>
        </w:rPr>
        <w:t>The intricacy of solving the domain issues depends on the degree of integration each firm had with the previous domain.</w:t>
      </w:r>
    </w:p>
    <w:p w14:paraId="7D4B5362" w14:textId="6908DA24" w:rsidR="006E7DA5" w:rsidRPr="006E7DA5" w:rsidRDefault="006E7DA5" w:rsidP="00980713">
      <w:pPr>
        <w:spacing w:after="0" w:line="480" w:lineRule="auto"/>
        <w:ind w:firstLine="720"/>
        <w:rPr>
          <w:rFonts w:ascii="Times New Roman" w:hAnsi="Times New Roman" w:cs="Times New Roman"/>
          <w:sz w:val="24"/>
          <w:szCs w:val="24"/>
        </w:rPr>
      </w:pPr>
      <w:r w:rsidRPr="006E7DA5">
        <w:rPr>
          <w:rFonts w:ascii="Times New Roman" w:hAnsi="Times New Roman" w:cs="Times New Roman"/>
          <w:sz w:val="24"/>
          <w:szCs w:val="24"/>
        </w:rPr>
        <w:t xml:space="preserve">Amazon’s IT department should pay attention to other technical requirements like email archiving and e-mail forwarding to protect the operations and </w:t>
      </w:r>
      <w:r w:rsidR="0069181F" w:rsidRPr="006E7DA5">
        <w:rPr>
          <w:rFonts w:ascii="Times New Roman" w:hAnsi="Times New Roman" w:cs="Times New Roman"/>
          <w:sz w:val="24"/>
          <w:szCs w:val="24"/>
        </w:rPr>
        <w:t>minimize</w:t>
      </w:r>
      <w:r w:rsidRPr="006E7DA5">
        <w:rPr>
          <w:rFonts w:ascii="Times New Roman" w:hAnsi="Times New Roman" w:cs="Times New Roman"/>
          <w:sz w:val="24"/>
          <w:szCs w:val="24"/>
        </w:rPr>
        <w:t xml:space="preserve"> interruptions. The IT team is in charge of the telephone, A/V and VOIP systems, so the documentation of equipment and assessing interoperability of the systems will manage workflow and staff productivity. Moreover, in collaboration with the compliance and legal departments, the IT department must determine if there are government and industry regulations that ought to be addressed in the transition</w:t>
      </w:r>
      <w:r w:rsidR="00A77A54" w:rsidRPr="00A77A54">
        <w:rPr>
          <w:rFonts w:ascii="Times New Roman" w:hAnsi="Times New Roman" w:cs="Times New Roman" w:hint="eastAsia"/>
          <w:sz w:val="24"/>
          <w:szCs w:val="24"/>
        </w:rPr>
        <w:t xml:space="preserve"> </w:t>
      </w:r>
      <w:r w:rsidR="00A77A54" w:rsidRPr="00A77A54">
        <w:rPr>
          <w:rFonts w:ascii="Times New Roman" w:hAnsi="Times New Roman" w:cs="Times New Roman"/>
          <w:sz w:val="24"/>
          <w:szCs w:val="24"/>
        </w:rPr>
        <w:t>(</w:t>
      </w:r>
      <w:r w:rsidR="00A77A54" w:rsidRPr="00A77A54">
        <w:rPr>
          <w:rFonts w:ascii="Times New Roman" w:hAnsi="Times New Roman" w:cs="Times New Roman" w:hint="eastAsia"/>
          <w:sz w:val="24"/>
          <w:szCs w:val="24"/>
        </w:rPr>
        <w:t>Stellner, 2015).</w:t>
      </w:r>
      <w:r w:rsidRPr="006E7DA5">
        <w:rPr>
          <w:rFonts w:ascii="Times New Roman" w:hAnsi="Times New Roman" w:cs="Times New Roman"/>
          <w:sz w:val="24"/>
          <w:szCs w:val="24"/>
        </w:rPr>
        <w:t xml:space="preserve"> Both teams should work together in deciding how to manage any regulatory concerns moving forward. Finally, Amazon’s IT department should take stock of IT infrastructure managed by both firms, and how the infrastructure can be integrated or outsourced in a seamless transition for the two entities. A comprehensive conversation should encompass whether it makes sense (practically and financially to maintain the IT infrastructure internally. The best option outsourcing to third-parties with infrastructural know-how in support services. </w:t>
      </w:r>
    </w:p>
    <w:p w14:paraId="5950F449" w14:textId="77777777" w:rsidR="00980713" w:rsidRDefault="006E7DA5" w:rsidP="00980713">
      <w:pPr>
        <w:spacing w:after="0" w:line="480" w:lineRule="auto"/>
        <w:ind w:firstLine="720"/>
        <w:rPr>
          <w:rFonts w:ascii="Times New Roman" w:hAnsi="Times New Roman" w:cs="Times New Roman"/>
          <w:sz w:val="24"/>
          <w:szCs w:val="24"/>
        </w:rPr>
      </w:pPr>
      <w:r w:rsidRPr="006E7DA5">
        <w:rPr>
          <w:rFonts w:ascii="Times New Roman" w:hAnsi="Times New Roman" w:cs="Times New Roman"/>
          <w:sz w:val="24"/>
          <w:szCs w:val="24"/>
        </w:rPr>
        <w:t>IT management and planning are important to a successful and smooth transition to the restructuring due to the M&amp;A. An absence of IT planning could lead to substantial issues, and aid in capitalizing on the merger or acquisitions, the technological features of the two parties should be evaluated and integrated into forwarding planning. The risks and disruption can be vividly lowered with exploration, planning, and synchronized communications, and information technology plays an essential role in these undertakings. In successful acquisitions, clear and transparent communication is critical, comprising maintaining communication lines with employees and consumers</w:t>
      </w:r>
      <w:r w:rsidR="00494347">
        <w:rPr>
          <w:rFonts w:ascii="Times New Roman" w:hAnsi="Times New Roman" w:cs="Times New Roman"/>
          <w:sz w:val="24"/>
          <w:szCs w:val="24"/>
        </w:rPr>
        <w:t xml:space="preserve"> (</w:t>
      </w:r>
      <w:r w:rsidR="00494347" w:rsidRPr="00494347">
        <w:rPr>
          <w:rFonts w:ascii="Times New Roman" w:hAnsi="Times New Roman" w:cs="Times New Roman" w:hint="eastAsia"/>
          <w:sz w:val="24"/>
          <w:szCs w:val="24"/>
        </w:rPr>
        <w:t>Chu,</w:t>
      </w:r>
      <w:r w:rsidR="00494347">
        <w:rPr>
          <w:rFonts w:ascii="Times New Roman" w:hAnsi="Times New Roman" w:cs="Times New Roman"/>
          <w:sz w:val="24"/>
          <w:szCs w:val="24"/>
        </w:rPr>
        <w:t xml:space="preserve"> </w:t>
      </w:r>
      <w:r w:rsidR="00494347" w:rsidRPr="00494347">
        <w:rPr>
          <w:rFonts w:ascii="Times New Roman" w:hAnsi="Times New Roman" w:cs="Times New Roman" w:hint="eastAsia"/>
          <w:sz w:val="24"/>
          <w:szCs w:val="24"/>
        </w:rPr>
        <w:t>2007</w:t>
      </w:r>
      <w:r w:rsidR="00494347" w:rsidRPr="00494347">
        <w:rPr>
          <w:rFonts w:ascii="Times New Roman" w:hAnsi="Times New Roman" w:cs="Times New Roman"/>
          <w:sz w:val="24"/>
          <w:szCs w:val="24"/>
        </w:rPr>
        <w:t>)</w:t>
      </w:r>
      <w:r w:rsidRPr="006E7DA5">
        <w:rPr>
          <w:rFonts w:ascii="Times New Roman" w:hAnsi="Times New Roman" w:cs="Times New Roman"/>
          <w:sz w:val="24"/>
          <w:szCs w:val="24"/>
        </w:rPr>
        <w:t xml:space="preserve">. Proper IT planning and due diligence that integrates the issues and activities of the IT department will aid in avoiding business disruptions and confusion. </w:t>
      </w:r>
      <w:r w:rsidRPr="006E7DA5">
        <w:rPr>
          <w:rFonts w:ascii="Times New Roman" w:hAnsi="Times New Roman" w:cs="Times New Roman"/>
          <w:sz w:val="24"/>
          <w:szCs w:val="24"/>
        </w:rPr>
        <w:lastRenderedPageBreak/>
        <w:t>Appropriate communications are beneficial in the disconcerting time for employees, consumers, vendors, and allied parties.</w:t>
      </w:r>
    </w:p>
    <w:p w14:paraId="3159699B" w14:textId="77777777" w:rsidR="00980713" w:rsidRDefault="00980713" w:rsidP="009807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ECDF94" w14:textId="6A5A9D82" w:rsidR="0022692C" w:rsidRDefault="00A77A54" w:rsidP="009807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C4A25CD" w14:textId="77777777" w:rsidR="00A77A54" w:rsidRPr="0025779F" w:rsidRDefault="00A77A54" w:rsidP="00980713">
      <w:pPr>
        <w:spacing w:after="0" w:line="480" w:lineRule="auto"/>
        <w:ind w:left="720" w:hanging="720"/>
        <w:rPr>
          <w:rFonts w:ascii="Times New Roman" w:hAnsi="Times New Roman" w:cs="Times New Roman"/>
          <w:sz w:val="24"/>
          <w:szCs w:val="24"/>
        </w:rPr>
      </w:pPr>
      <w:r w:rsidRPr="0025779F">
        <w:rPr>
          <w:rFonts w:ascii="Times New Roman" w:eastAsia="Arial Unicode MS" w:hAnsi="Times New Roman" w:cs="Times New Roman"/>
          <w:color w:val="000000"/>
          <w:sz w:val="24"/>
          <w:szCs w:val="24"/>
          <w:shd w:val="clear" w:color="auto" w:fill="FFFFFF"/>
        </w:rPr>
        <w:t>Andriole, S. J. (2009). </w:t>
      </w:r>
      <w:r w:rsidRPr="00980713">
        <w:rPr>
          <w:rFonts w:ascii="Times New Roman" w:eastAsia="Arial Unicode MS" w:hAnsi="Times New Roman" w:cs="Times New Roman"/>
          <w:iCs/>
          <w:color w:val="000000"/>
          <w:sz w:val="24"/>
          <w:szCs w:val="24"/>
          <w:shd w:val="clear" w:color="auto" w:fill="FFFFFF"/>
        </w:rPr>
        <w:t>Technology due diligence: Best practices for chief information officers, venture capitalists, and technology vendors</w:t>
      </w:r>
      <w:r w:rsidRPr="0025779F">
        <w:rPr>
          <w:rFonts w:ascii="Times New Roman" w:eastAsia="Arial Unicode MS" w:hAnsi="Times New Roman" w:cs="Times New Roman"/>
          <w:color w:val="000000"/>
          <w:sz w:val="24"/>
          <w:szCs w:val="24"/>
          <w:shd w:val="clear" w:color="auto" w:fill="FFFFFF"/>
        </w:rPr>
        <w:t>. Hershey, PA: Information Science Reference</w:t>
      </w:r>
    </w:p>
    <w:p w14:paraId="73991F2F" w14:textId="77777777" w:rsidR="00494347" w:rsidRPr="0025779F" w:rsidRDefault="00494347" w:rsidP="00980713">
      <w:pPr>
        <w:spacing w:line="480" w:lineRule="auto"/>
        <w:ind w:left="720" w:hanging="720"/>
        <w:rPr>
          <w:rFonts w:ascii="Times New Roman" w:eastAsia="Arial Unicode MS" w:hAnsi="Times New Roman" w:cs="Times New Roman"/>
          <w:color w:val="000000"/>
          <w:sz w:val="24"/>
          <w:szCs w:val="24"/>
        </w:rPr>
      </w:pPr>
      <w:r w:rsidRPr="0025779F">
        <w:rPr>
          <w:rFonts w:ascii="Times New Roman" w:eastAsia="Arial Unicode MS" w:hAnsi="Times New Roman" w:cs="Times New Roman"/>
          <w:color w:val="000000"/>
          <w:sz w:val="24"/>
          <w:szCs w:val="24"/>
          <w:shd w:val="clear" w:color="auto" w:fill="FFFFFF"/>
        </w:rPr>
        <w:t>Chu, H. W. (2007). </w:t>
      </w:r>
      <w:r w:rsidRPr="00980713">
        <w:rPr>
          <w:rFonts w:ascii="Times New Roman" w:eastAsia="Arial Unicode MS" w:hAnsi="Times New Roman" w:cs="Times New Roman"/>
          <w:iCs/>
          <w:color w:val="000000"/>
          <w:sz w:val="24"/>
          <w:szCs w:val="24"/>
          <w:shd w:val="clear" w:color="auto" w:fill="FFFFFF"/>
        </w:rPr>
        <w:t>The strategic determinants of information systems and technology in the success or failure of mergers and acquisitions</w:t>
      </w:r>
      <w:r w:rsidRPr="0025779F">
        <w:rPr>
          <w:rFonts w:ascii="Times New Roman" w:eastAsia="Arial Unicode MS" w:hAnsi="Times New Roman" w:cs="Times New Roman"/>
          <w:color w:val="000000"/>
          <w:sz w:val="24"/>
          <w:szCs w:val="24"/>
          <w:shd w:val="clear" w:color="auto" w:fill="FFFFFF"/>
        </w:rPr>
        <w:t xml:space="preserve">. </w:t>
      </w:r>
      <w:r w:rsidRPr="0025779F">
        <w:rPr>
          <w:rFonts w:ascii="Times New Roman" w:eastAsia="Arial Unicode MS" w:hAnsi="Times New Roman" w:cs="Times New Roman"/>
          <w:color w:val="000000"/>
          <w:sz w:val="24"/>
          <w:szCs w:val="24"/>
        </w:rPr>
        <w:t>Ph. D. City University of New York </w:t>
      </w:r>
    </w:p>
    <w:p w14:paraId="544E35B3" w14:textId="77777777" w:rsidR="00494347" w:rsidRPr="0025779F" w:rsidRDefault="00494347" w:rsidP="00980713">
      <w:pPr>
        <w:spacing w:line="480" w:lineRule="auto"/>
        <w:ind w:left="720" w:hanging="720"/>
        <w:rPr>
          <w:rFonts w:ascii="Times New Roman" w:eastAsia="Arial Unicode MS" w:hAnsi="Times New Roman" w:cs="Times New Roman"/>
          <w:color w:val="000000"/>
          <w:sz w:val="24"/>
          <w:szCs w:val="24"/>
          <w:shd w:val="clear" w:color="auto" w:fill="FFFFFF"/>
        </w:rPr>
      </w:pPr>
      <w:r w:rsidRPr="0025779F">
        <w:rPr>
          <w:rFonts w:ascii="Times New Roman" w:eastAsia="Arial Unicode MS" w:hAnsi="Times New Roman" w:cs="Times New Roman"/>
          <w:color w:val="000000"/>
          <w:sz w:val="24"/>
          <w:szCs w:val="24"/>
          <w:shd w:val="clear" w:color="auto" w:fill="FFFFFF"/>
        </w:rPr>
        <w:t>DePamphilis, D. M. (2018). </w:t>
      </w:r>
      <w:r w:rsidRPr="00980713">
        <w:rPr>
          <w:rFonts w:ascii="Times New Roman" w:eastAsia="Arial Unicode MS" w:hAnsi="Times New Roman" w:cs="Times New Roman"/>
          <w:iCs/>
          <w:color w:val="000000"/>
          <w:sz w:val="24"/>
          <w:szCs w:val="24"/>
          <w:shd w:val="clear" w:color="auto" w:fill="FFFFFF"/>
        </w:rPr>
        <w:t>Mergers, acquisitions, and other restructuring activities: An integrated approach to process, tools, cases, and solutions</w:t>
      </w:r>
      <w:r w:rsidRPr="0025779F">
        <w:rPr>
          <w:rFonts w:ascii="Times New Roman" w:eastAsia="Arial Unicode MS" w:hAnsi="Times New Roman" w:cs="Times New Roman"/>
          <w:color w:val="000000"/>
          <w:sz w:val="24"/>
          <w:szCs w:val="24"/>
          <w:shd w:val="clear" w:color="auto" w:fill="FFFFFF"/>
        </w:rPr>
        <w:t>. London: Elsevier/Academic Press.</w:t>
      </w:r>
    </w:p>
    <w:p w14:paraId="576EF5F5" w14:textId="77777777" w:rsidR="00A77A54" w:rsidRPr="0025779F" w:rsidRDefault="00A77A54" w:rsidP="00980713">
      <w:pPr>
        <w:spacing w:line="480" w:lineRule="auto"/>
        <w:ind w:left="720" w:hanging="720"/>
        <w:rPr>
          <w:rFonts w:ascii="Times New Roman" w:eastAsia="Arial Unicode MS" w:hAnsi="Times New Roman" w:cs="Times New Roman"/>
          <w:color w:val="000000"/>
          <w:sz w:val="24"/>
          <w:szCs w:val="24"/>
        </w:rPr>
      </w:pPr>
      <w:r w:rsidRPr="0025779F">
        <w:rPr>
          <w:rFonts w:ascii="Times New Roman" w:eastAsia="Arial Unicode MS" w:hAnsi="Times New Roman" w:cs="Times New Roman"/>
          <w:color w:val="000000"/>
          <w:sz w:val="24"/>
          <w:szCs w:val="24"/>
          <w:shd w:val="clear" w:color="auto" w:fill="FFFFFF"/>
        </w:rPr>
        <w:t>In Cooper, C. L., &amp; In Finkelstein, S. (2017). </w:t>
      </w:r>
      <w:r w:rsidRPr="00980713">
        <w:rPr>
          <w:rFonts w:ascii="Times New Roman" w:eastAsia="Arial Unicode MS" w:hAnsi="Times New Roman" w:cs="Times New Roman"/>
          <w:iCs/>
          <w:color w:val="000000"/>
          <w:sz w:val="24"/>
          <w:szCs w:val="24"/>
          <w:shd w:val="clear" w:color="auto" w:fill="FFFFFF"/>
        </w:rPr>
        <w:t>Advances in mergers and acquisitions</w:t>
      </w:r>
      <w:r w:rsidRPr="0025779F">
        <w:rPr>
          <w:rFonts w:ascii="Times New Roman" w:eastAsia="Arial Unicode MS" w:hAnsi="Times New Roman" w:cs="Times New Roman"/>
          <w:color w:val="000000"/>
          <w:sz w:val="24"/>
          <w:szCs w:val="24"/>
          <w:shd w:val="clear" w:color="auto" w:fill="FFFFFF"/>
        </w:rPr>
        <w:t>.</w:t>
      </w:r>
      <w:r w:rsidRPr="0025779F">
        <w:rPr>
          <w:rFonts w:ascii="Times New Roman" w:eastAsia="Arial Unicode MS" w:hAnsi="Times New Roman" w:cs="Times New Roman"/>
          <w:color w:val="000000"/>
          <w:sz w:val="24"/>
          <w:szCs w:val="24"/>
        </w:rPr>
        <w:t xml:space="preserve"> Bingley, UK: Emerald Publishing Limited.</w:t>
      </w:r>
    </w:p>
    <w:p w14:paraId="2B9BA6F0" w14:textId="13005C4B" w:rsidR="0082269D" w:rsidRPr="00FB4700" w:rsidRDefault="00A77A54" w:rsidP="00FB4700">
      <w:pPr>
        <w:spacing w:line="480" w:lineRule="auto"/>
        <w:ind w:left="720" w:hanging="720"/>
        <w:rPr>
          <w:rFonts w:ascii="Times New Roman" w:eastAsia="Arial Unicode MS" w:hAnsi="Times New Roman" w:cs="Times New Roman"/>
          <w:color w:val="000000"/>
          <w:sz w:val="24"/>
          <w:szCs w:val="24"/>
        </w:rPr>
      </w:pPr>
      <w:r w:rsidRPr="0025779F">
        <w:rPr>
          <w:rFonts w:ascii="Times New Roman" w:eastAsia="Arial Unicode MS" w:hAnsi="Times New Roman" w:cs="Times New Roman"/>
          <w:color w:val="000000"/>
          <w:sz w:val="24"/>
          <w:szCs w:val="24"/>
          <w:shd w:val="clear" w:color="auto" w:fill="FFFFFF"/>
        </w:rPr>
        <w:t>Stellner, F., &amp; Books on Demand GmbH. (2015). </w:t>
      </w:r>
      <w:r w:rsidRPr="00980713">
        <w:rPr>
          <w:rFonts w:ascii="Times New Roman" w:eastAsia="Arial Unicode MS" w:hAnsi="Times New Roman" w:cs="Times New Roman"/>
          <w:iCs/>
          <w:color w:val="000000"/>
          <w:sz w:val="24"/>
          <w:szCs w:val="24"/>
          <w:shd w:val="clear" w:color="auto" w:fill="FFFFFF"/>
        </w:rPr>
        <w:t>Technological distance: Theoretical foundations, statistical analysis and application to mergers and acquisitions</w:t>
      </w:r>
      <w:r w:rsidRPr="0025779F">
        <w:rPr>
          <w:rFonts w:ascii="Times New Roman" w:eastAsia="Arial Unicode MS" w:hAnsi="Times New Roman" w:cs="Times New Roman"/>
          <w:color w:val="000000"/>
          <w:sz w:val="24"/>
          <w:szCs w:val="24"/>
          <w:shd w:val="clear" w:color="auto" w:fill="FFFFFF"/>
        </w:rPr>
        <w:t>. Norderstedt: Books on Demand.</w:t>
      </w:r>
      <w:bookmarkStart w:id="0" w:name="_GoBack"/>
      <w:bookmarkEnd w:id="0"/>
    </w:p>
    <w:sectPr w:rsidR="0082269D" w:rsidRPr="00FB4700" w:rsidSect="00445D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EF83F" w14:textId="77777777" w:rsidR="001D104B" w:rsidRDefault="001D104B" w:rsidP="008B281B">
      <w:pPr>
        <w:spacing w:after="0" w:line="240" w:lineRule="auto"/>
      </w:pPr>
      <w:r>
        <w:separator/>
      </w:r>
    </w:p>
  </w:endnote>
  <w:endnote w:type="continuationSeparator" w:id="0">
    <w:p w14:paraId="318291E6" w14:textId="77777777" w:rsidR="001D104B" w:rsidRDefault="001D104B"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DC243" w14:textId="77777777" w:rsidR="001D104B" w:rsidRDefault="001D104B" w:rsidP="008B281B">
      <w:pPr>
        <w:spacing w:after="0" w:line="240" w:lineRule="auto"/>
      </w:pPr>
      <w:r>
        <w:separator/>
      </w:r>
    </w:p>
  </w:footnote>
  <w:footnote w:type="continuationSeparator" w:id="0">
    <w:p w14:paraId="20D738A2" w14:textId="77777777" w:rsidR="001D104B" w:rsidRDefault="001D104B"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29287003"/>
      <w:docPartObj>
        <w:docPartGallery w:val="Page Numbers (Top of Page)"/>
        <w:docPartUnique/>
      </w:docPartObj>
    </w:sdtPr>
    <w:sdtEndPr>
      <w:rPr>
        <w:noProof/>
      </w:rPr>
    </w:sdtEndPr>
    <w:sdtContent>
      <w:p w14:paraId="6D8DE42A" w14:textId="47795EB1" w:rsidR="00445D08" w:rsidRPr="00445D08" w:rsidRDefault="00445D08">
        <w:pPr>
          <w:pStyle w:val="Header"/>
          <w:jc w:val="right"/>
          <w:rPr>
            <w:rFonts w:ascii="Times New Roman" w:hAnsi="Times New Roman" w:cs="Times New Roman"/>
            <w:sz w:val="20"/>
            <w:szCs w:val="20"/>
          </w:rPr>
        </w:pPr>
        <w:r w:rsidRPr="00445D08">
          <w:rPr>
            <w:rFonts w:ascii="Times New Roman" w:hAnsi="Times New Roman" w:cs="Times New Roman"/>
            <w:sz w:val="20"/>
            <w:szCs w:val="20"/>
          </w:rPr>
          <w:t xml:space="preserve">EXECUTIVE SUMMARY OF AMAZON ACQUISITION IT STRATEGIC PLAN </w:t>
        </w:r>
        <w:r>
          <w:rPr>
            <w:rFonts w:ascii="Times New Roman" w:hAnsi="Times New Roman" w:cs="Times New Roman"/>
            <w:sz w:val="20"/>
            <w:szCs w:val="20"/>
          </w:rPr>
          <w:t xml:space="preserve">                                                 </w:t>
        </w:r>
        <w:r w:rsidRPr="00445D08">
          <w:rPr>
            <w:rFonts w:ascii="Times New Roman" w:hAnsi="Times New Roman" w:cs="Times New Roman"/>
            <w:sz w:val="20"/>
            <w:szCs w:val="20"/>
          </w:rPr>
          <w:fldChar w:fldCharType="begin"/>
        </w:r>
        <w:r w:rsidRPr="00445D08">
          <w:rPr>
            <w:rFonts w:ascii="Times New Roman" w:hAnsi="Times New Roman" w:cs="Times New Roman"/>
            <w:sz w:val="20"/>
            <w:szCs w:val="20"/>
          </w:rPr>
          <w:instrText xml:space="preserve"> PAGE   \* MERGEFORMAT </w:instrText>
        </w:r>
        <w:r w:rsidRPr="00445D08">
          <w:rPr>
            <w:rFonts w:ascii="Times New Roman" w:hAnsi="Times New Roman" w:cs="Times New Roman"/>
            <w:sz w:val="20"/>
            <w:szCs w:val="20"/>
          </w:rPr>
          <w:fldChar w:fldCharType="separate"/>
        </w:r>
        <w:r w:rsidRPr="00445D08">
          <w:rPr>
            <w:rFonts w:ascii="Times New Roman" w:hAnsi="Times New Roman" w:cs="Times New Roman"/>
            <w:noProof/>
            <w:sz w:val="20"/>
            <w:szCs w:val="20"/>
          </w:rPr>
          <w:t>2</w:t>
        </w:r>
        <w:r w:rsidRPr="00445D08">
          <w:rPr>
            <w:rFonts w:ascii="Times New Roman" w:hAnsi="Times New Roman" w:cs="Times New Roman"/>
            <w:noProof/>
            <w:sz w:val="20"/>
            <w:szCs w:val="20"/>
          </w:rPr>
          <w:fldChar w:fldCharType="end"/>
        </w:r>
      </w:p>
    </w:sdtContent>
  </w:sdt>
  <w:p w14:paraId="4A6ABBF3" w14:textId="4A85A857" w:rsidR="006E275B" w:rsidRPr="00445D08" w:rsidRDefault="006E275B" w:rsidP="00445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47480719"/>
      <w:docPartObj>
        <w:docPartGallery w:val="Page Numbers (Top of Page)"/>
        <w:docPartUnique/>
      </w:docPartObj>
    </w:sdtPr>
    <w:sdtEndPr>
      <w:rPr>
        <w:noProof/>
      </w:rPr>
    </w:sdtEndPr>
    <w:sdtContent>
      <w:p w14:paraId="74ACB7D0" w14:textId="5AEBCC2A" w:rsidR="00445D08" w:rsidRPr="00445D08" w:rsidRDefault="00445D08" w:rsidP="00445D08">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445D08">
          <w:rPr>
            <w:rFonts w:ascii="Times New Roman" w:hAnsi="Times New Roman" w:cs="Times New Roman"/>
            <w:sz w:val="20"/>
            <w:szCs w:val="20"/>
          </w:rPr>
          <w:t xml:space="preserve">EXECUTIVE SUMMARY OF AMAZON ACQUISITION IT STRATEGIC PLAN </w:t>
        </w:r>
        <w:r>
          <w:rPr>
            <w:rFonts w:ascii="Times New Roman" w:hAnsi="Times New Roman" w:cs="Times New Roman"/>
            <w:sz w:val="20"/>
            <w:szCs w:val="20"/>
          </w:rPr>
          <w:t xml:space="preserve">                        </w:t>
        </w:r>
        <w:r w:rsidRPr="00445D08">
          <w:rPr>
            <w:rFonts w:ascii="Times New Roman" w:hAnsi="Times New Roman" w:cs="Times New Roman"/>
            <w:sz w:val="20"/>
            <w:szCs w:val="20"/>
          </w:rPr>
          <w:fldChar w:fldCharType="begin"/>
        </w:r>
        <w:r w:rsidRPr="00445D08">
          <w:rPr>
            <w:rFonts w:ascii="Times New Roman" w:hAnsi="Times New Roman" w:cs="Times New Roman"/>
            <w:sz w:val="20"/>
            <w:szCs w:val="20"/>
          </w:rPr>
          <w:instrText xml:space="preserve"> PAGE   \* MERGEFORMAT </w:instrText>
        </w:r>
        <w:r w:rsidRPr="00445D08">
          <w:rPr>
            <w:rFonts w:ascii="Times New Roman" w:hAnsi="Times New Roman" w:cs="Times New Roman"/>
            <w:sz w:val="20"/>
            <w:szCs w:val="20"/>
          </w:rPr>
          <w:fldChar w:fldCharType="separate"/>
        </w:r>
        <w:r w:rsidRPr="00445D08">
          <w:rPr>
            <w:rFonts w:ascii="Times New Roman" w:hAnsi="Times New Roman" w:cs="Times New Roman"/>
            <w:noProof/>
            <w:sz w:val="20"/>
            <w:szCs w:val="20"/>
          </w:rPr>
          <w:t>2</w:t>
        </w:r>
        <w:r w:rsidRPr="00445D08">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6"/>
  </w:num>
  <w:num w:numId="3">
    <w:abstractNumId w:val="13"/>
  </w:num>
  <w:num w:numId="4">
    <w:abstractNumId w:val="6"/>
  </w:num>
  <w:num w:numId="5">
    <w:abstractNumId w:val="24"/>
  </w:num>
  <w:num w:numId="6">
    <w:abstractNumId w:val="7"/>
  </w:num>
  <w:num w:numId="7">
    <w:abstractNumId w:val="11"/>
  </w:num>
  <w:num w:numId="8">
    <w:abstractNumId w:val="18"/>
  </w:num>
  <w:num w:numId="9">
    <w:abstractNumId w:val="36"/>
  </w:num>
  <w:num w:numId="10">
    <w:abstractNumId w:val="20"/>
  </w:num>
  <w:num w:numId="11">
    <w:abstractNumId w:val="19"/>
  </w:num>
  <w:num w:numId="12">
    <w:abstractNumId w:val="34"/>
  </w:num>
  <w:num w:numId="13">
    <w:abstractNumId w:val="8"/>
  </w:num>
  <w:num w:numId="14">
    <w:abstractNumId w:val="29"/>
  </w:num>
  <w:num w:numId="15">
    <w:abstractNumId w:val="33"/>
  </w:num>
  <w:num w:numId="16">
    <w:abstractNumId w:val="3"/>
  </w:num>
  <w:num w:numId="17">
    <w:abstractNumId w:val="14"/>
  </w:num>
  <w:num w:numId="18">
    <w:abstractNumId w:val="0"/>
  </w:num>
  <w:num w:numId="19">
    <w:abstractNumId w:val="4"/>
  </w:num>
  <w:num w:numId="20">
    <w:abstractNumId w:val="30"/>
  </w:num>
  <w:num w:numId="21">
    <w:abstractNumId w:val="12"/>
  </w:num>
  <w:num w:numId="22">
    <w:abstractNumId w:val="9"/>
  </w:num>
  <w:num w:numId="23">
    <w:abstractNumId w:val="27"/>
  </w:num>
  <w:num w:numId="24">
    <w:abstractNumId w:val="2"/>
  </w:num>
  <w:num w:numId="25">
    <w:abstractNumId w:val="23"/>
  </w:num>
  <w:num w:numId="26">
    <w:abstractNumId w:val="28"/>
  </w:num>
  <w:num w:numId="27">
    <w:abstractNumId w:val="16"/>
  </w:num>
  <w:num w:numId="28">
    <w:abstractNumId w:val="5"/>
  </w:num>
  <w:num w:numId="29">
    <w:abstractNumId w:val="21"/>
  </w:num>
  <w:num w:numId="30">
    <w:abstractNumId w:val="25"/>
  </w:num>
  <w:num w:numId="31">
    <w:abstractNumId w:val="17"/>
  </w:num>
  <w:num w:numId="32">
    <w:abstractNumId w:val="31"/>
  </w:num>
  <w:num w:numId="33">
    <w:abstractNumId w:val="10"/>
  </w:num>
  <w:num w:numId="34">
    <w:abstractNumId w:val="1"/>
  </w:num>
  <w:num w:numId="35">
    <w:abstractNumId w:val="32"/>
  </w:num>
  <w:num w:numId="36">
    <w:abstractNumId w:val="3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7582"/>
    <w:rsid w:val="00055A2C"/>
    <w:rsid w:val="000656CB"/>
    <w:rsid w:val="00081CC8"/>
    <w:rsid w:val="000900B5"/>
    <w:rsid w:val="00092027"/>
    <w:rsid w:val="000973B1"/>
    <w:rsid w:val="000C4550"/>
    <w:rsid w:val="000C463B"/>
    <w:rsid w:val="000E12AA"/>
    <w:rsid w:val="00104EB7"/>
    <w:rsid w:val="0011160C"/>
    <w:rsid w:val="00146F0B"/>
    <w:rsid w:val="001B078D"/>
    <w:rsid w:val="001D104B"/>
    <w:rsid w:val="001F1827"/>
    <w:rsid w:val="002018DE"/>
    <w:rsid w:val="00216EC7"/>
    <w:rsid w:val="0022692C"/>
    <w:rsid w:val="002416EB"/>
    <w:rsid w:val="0025733D"/>
    <w:rsid w:val="0025779F"/>
    <w:rsid w:val="002664EA"/>
    <w:rsid w:val="00271F2C"/>
    <w:rsid w:val="002A7388"/>
    <w:rsid w:val="0033516E"/>
    <w:rsid w:val="00343DD9"/>
    <w:rsid w:val="00366D9A"/>
    <w:rsid w:val="00373A6A"/>
    <w:rsid w:val="003C2C37"/>
    <w:rsid w:val="003D73FC"/>
    <w:rsid w:val="003E2F97"/>
    <w:rsid w:val="003F15E4"/>
    <w:rsid w:val="00403C36"/>
    <w:rsid w:val="00415403"/>
    <w:rsid w:val="00445D08"/>
    <w:rsid w:val="00456306"/>
    <w:rsid w:val="004564E8"/>
    <w:rsid w:val="00494347"/>
    <w:rsid w:val="004A3933"/>
    <w:rsid w:val="004A5EAB"/>
    <w:rsid w:val="004C7A0B"/>
    <w:rsid w:val="004D660F"/>
    <w:rsid w:val="004E3F05"/>
    <w:rsid w:val="00526504"/>
    <w:rsid w:val="00536B6E"/>
    <w:rsid w:val="005373B7"/>
    <w:rsid w:val="00541D6F"/>
    <w:rsid w:val="0057628A"/>
    <w:rsid w:val="005A3CFE"/>
    <w:rsid w:val="005B3BDA"/>
    <w:rsid w:val="005B72E0"/>
    <w:rsid w:val="00607D9E"/>
    <w:rsid w:val="006131F1"/>
    <w:rsid w:val="00621C8F"/>
    <w:rsid w:val="00624918"/>
    <w:rsid w:val="00633D59"/>
    <w:rsid w:val="006643D6"/>
    <w:rsid w:val="006807FC"/>
    <w:rsid w:val="0069181F"/>
    <w:rsid w:val="00691A75"/>
    <w:rsid w:val="00696739"/>
    <w:rsid w:val="006A05C5"/>
    <w:rsid w:val="006A2985"/>
    <w:rsid w:val="006B19A0"/>
    <w:rsid w:val="006B7906"/>
    <w:rsid w:val="006D5F6A"/>
    <w:rsid w:val="006E275B"/>
    <w:rsid w:val="006E7DA5"/>
    <w:rsid w:val="007077BB"/>
    <w:rsid w:val="00715BDA"/>
    <w:rsid w:val="007173D1"/>
    <w:rsid w:val="00742828"/>
    <w:rsid w:val="00756D94"/>
    <w:rsid w:val="007875DF"/>
    <w:rsid w:val="007A4705"/>
    <w:rsid w:val="007A5870"/>
    <w:rsid w:val="007B3D85"/>
    <w:rsid w:val="007D26D3"/>
    <w:rsid w:val="007E153F"/>
    <w:rsid w:val="0082269D"/>
    <w:rsid w:val="00824566"/>
    <w:rsid w:val="00831E7B"/>
    <w:rsid w:val="0084150D"/>
    <w:rsid w:val="00897D86"/>
    <w:rsid w:val="008B281B"/>
    <w:rsid w:val="008C284C"/>
    <w:rsid w:val="008C4164"/>
    <w:rsid w:val="008E2F6F"/>
    <w:rsid w:val="00900FB7"/>
    <w:rsid w:val="009012A6"/>
    <w:rsid w:val="009047ED"/>
    <w:rsid w:val="009069A5"/>
    <w:rsid w:val="00914296"/>
    <w:rsid w:val="0092552D"/>
    <w:rsid w:val="00942C45"/>
    <w:rsid w:val="00980713"/>
    <w:rsid w:val="009A5F68"/>
    <w:rsid w:val="009C41FB"/>
    <w:rsid w:val="009F0C26"/>
    <w:rsid w:val="00A26EC7"/>
    <w:rsid w:val="00A27E84"/>
    <w:rsid w:val="00A478FB"/>
    <w:rsid w:val="00A47C64"/>
    <w:rsid w:val="00A538E4"/>
    <w:rsid w:val="00A541EC"/>
    <w:rsid w:val="00A67A9E"/>
    <w:rsid w:val="00A7149B"/>
    <w:rsid w:val="00A77A54"/>
    <w:rsid w:val="00A948A7"/>
    <w:rsid w:val="00AD1354"/>
    <w:rsid w:val="00AD3A6B"/>
    <w:rsid w:val="00AF133D"/>
    <w:rsid w:val="00B02305"/>
    <w:rsid w:val="00B17439"/>
    <w:rsid w:val="00B23463"/>
    <w:rsid w:val="00B8169A"/>
    <w:rsid w:val="00B872FA"/>
    <w:rsid w:val="00BA446A"/>
    <w:rsid w:val="00BA4F61"/>
    <w:rsid w:val="00BA7A58"/>
    <w:rsid w:val="00BB66CE"/>
    <w:rsid w:val="00BC2353"/>
    <w:rsid w:val="00BC6CF6"/>
    <w:rsid w:val="00BD24E8"/>
    <w:rsid w:val="00BD2F51"/>
    <w:rsid w:val="00C01F45"/>
    <w:rsid w:val="00C0245D"/>
    <w:rsid w:val="00C17ADE"/>
    <w:rsid w:val="00C3529A"/>
    <w:rsid w:val="00C52F44"/>
    <w:rsid w:val="00C73E7D"/>
    <w:rsid w:val="00C81336"/>
    <w:rsid w:val="00C915C2"/>
    <w:rsid w:val="00CB0ED5"/>
    <w:rsid w:val="00CF2A44"/>
    <w:rsid w:val="00D134C4"/>
    <w:rsid w:val="00D13875"/>
    <w:rsid w:val="00D22E62"/>
    <w:rsid w:val="00D237B8"/>
    <w:rsid w:val="00D42EBD"/>
    <w:rsid w:val="00D44061"/>
    <w:rsid w:val="00D55CD0"/>
    <w:rsid w:val="00D65E46"/>
    <w:rsid w:val="00D76CC2"/>
    <w:rsid w:val="00D80EBB"/>
    <w:rsid w:val="00D83F5C"/>
    <w:rsid w:val="00D86E84"/>
    <w:rsid w:val="00D92AAF"/>
    <w:rsid w:val="00D94061"/>
    <w:rsid w:val="00DC29FD"/>
    <w:rsid w:val="00E23113"/>
    <w:rsid w:val="00E43FD2"/>
    <w:rsid w:val="00E44F53"/>
    <w:rsid w:val="00E525AA"/>
    <w:rsid w:val="00E53A8B"/>
    <w:rsid w:val="00E97498"/>
    <w:rsid w:val="00EC1152"/>
    <w:rsid w:val="00EC2965"/>
    <w:rsid w:val="00EC60AA"/>
    <w:rsid w:val="00ED0CE6"/>
    <w:rsid w:val="00F05A8F"/>
    <w:rsid w:val="00F20A65"/>
    <w:rsid w:val="00F26C15"/>
    <w:rsid w:val="00F41A5B"/>
    <w:rsid w:val="00F44550"/>
    <w:rsid w:val="00F56BE7"/>
    <w:rsid w:val="00F87B81"/>
    <w:rsid w:val="00FA1935"/>
    <w:rsid w:val="00FB4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BFDB"/>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07970-0750-4756-9007-87FCB5C25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16</cp:revision>
  <cp:lastPrinted>2017-10-27T10:22:00Z</cp:lastPrinted>
  <dcterms:created xsi:type="dcterms:W3CDTF">2018-07-01T08:04:00Z</dcterms:created>
  <dcterms:modified xsi:type="dcterms:W3CDTF">2018-07-01T12:48:00Z</dcterms:modified>
</cp:coreProperties>
</file>